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930786">
        <w:rPr>
          <w:rFonts w:ascii="Palatino Linotype" w:hAnsi="Palatino Linotype" w:cs="Arial"/>
          <w:b/>
          <w:bCs/>
          <w:sz w:val="23"/>
          <w:szCs w:val="23"/>
        </w:rPr>
        <w:t>9</w:t>
      </w:r>
      <w:r w:rsidR="001D47E3">
        <w:rPr>
          <w:rFonts w:ascii="Palatino Linotype" w:hAnsi="Palatino Linotype" w:cs="Arial"/>
          <w:b/>
          <w:bCs/>
          <w:sz w:val="23"/>
          <w:szCs w:val="23"/>
        </w:rPr>
        <w:t>30</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2A6E1F" w:rsidRPr="002A6E1F" w:rsidRDefault="00E6179D">
          <w:pPr>
            <w:pStyle w:val="TDC1"/>
            <w:rPr>
              <w:rFonts w:eastAsiaTheme="minorEastAsia"/>
              <w:b w:val="0"/>
              <w:sz w:val="24"/>
              <w:szCs w:val="24"/>
              <w:lang w:eastAsia="es-MX"/>
            </w:rPr>
          </w:pPr>
          <w:r w:rsidRPr="002A6E1F">
            <w:rPr>
              <w:sz w:val="24"/>
              <w:szCs w:val="24"/>
            </w:rPr>
            <w:fldChar w:fldCharType="begin"/>
          </w:r>
          <w:r w:rsidRPr="002A6E1F">
            <w:rPr>
              <w:sz w:val="24"/>
              <w:szCs w:val="24"/>
            </w:rPr>
            <w:instrText xml:space="preserve"> TOC \o "1-3" \h \z \u </w:instrText>
          </w:r>
          <w:r w:rsidRPr="002A6E1F">
            <w:rPr>
              <w:sz w:val="24"/>
              <w:szCs w:val="24"/>
            </w:rPr>
            <w:fldChar w:fldCharType="separate"/>
          </w:r>
          <w:hyperlink w:anchor="_Toc527360675" w:history="1">
            <w:r w:rsidR="002A6E1F" w:rsidRPr="002A6E1F">
              <w:rPr>
                <w:rStyle w:val="Hipervnculo"/>
                <w:rFonts w:eastAsia="Times New Roman"/>
                <w:sz w:val="24"/>
                <w:szCs w:val="24"/>
              </w:rPr>
              <w:t>I.</w:t>
            </w:r>
            <w:r w:rsidR="002A6E1F" w:rsidRPr="002A6E1F">
              <w:rPr>
                <w:rFonts w:eastAsiaTheme="minorEastAsia"/>
                <w:b w:val="0"/>
                <w:sz w:val="24"/>
                <w:szCs w:val="24"/>
                <w:lang w:eastAsia="es-MX"/>
              </w:rPr>
              <w:tab/>
            </w:r>
            <w:r w:rsidR="002A6E1F" w:rsidRPr="002A6E1F">
              <w:rPr>
                <w:rStyle w:val="Hipervnculo"/>
                <w:rFonts w:eastAsia="Times New Roman"/>
                <w:sz w:val="24"/>
                <w:szCs w:val="24"/>
              </w:rPr>
              <w:t>Consideraciones Generales</w:t>
            </w:r>
            <w:r w:rsidR="002A6E1F" w:rsidRPr="002A6E1F">
              <w:rPr>
                <w:webHidden/>
                <w:sz w:val="24"/>
                <w:szCs w:val="24"/>
              </w:rPr>
              <w:tab/>
            </w:r>
            <w:r w:rsidR="002A6E1F" w:rsidRPr="002A6E1F">
              <w:rPr>
                <w:webHidden/>
                <w:sz w:val="24"/>
                <w:szCs w:val="24"/>
              </w:rPr>
              <w:fldChar w:fldCharType="begin"/>
            </w:r>
            <w:r w:rsidR="002A6E1F" w:rsidRPr="002A6E1F">
              <w:rPr>
                <w:webHidden/>
                <w:sz w:val="24"/>
                <w:szCs w:val="24"/>
              </w:rPr>
              <w:instrText xml:space="preserve"> PAGEREF _Toc527360675 \h </w:instrText>
            </w:r>
            <w:r w:rsidR="002A6E1F" w:rsidRPr="002A6E1F">
              <w:rPr>
                <w:webHidden/>
                <w:sz w:val="24"/>
                <w:szCs w:val="24"/>
              </w:rPr>
            </w:r>
            <w:r w:rsidR="002A6E1F" w:rsidRPr="002A6E1F">
              <w:rPr>
                <w:webHidden/>
                <w:sz w:val="24"/>
                <w:szCs w:val="24"/>
              </w:rPr>
              <w:fldChar w:fldCharType="separate"/>
            </w:r>
            <w:r w:rsidR="004E2963">
              <w:rPr>
                <w:webHidden/>
                <w:sz w:val="24"/>
                <w:szCs w:val="24"/>
              </w:rPr>
              <w:t>1</w:t>
            </w:r>
            <w:r w:rsidR="002A6E1F" w:rsidRPr="002A6E1F">
              <w:rPr>
                <w:webHidden/>
                <w:sz w:val="24"/>
                <w:szCs w:val="24"/>
              </w:rPr>
              <w:fldChar w:fldCharType="end"/>
            </w:r>
          </w:hyperlink>
        </w:p>
        <w:p w:rsidR="002A6E1F" w:rsidRPr="002A6E1F" w:rsidRDefault="00F47523">
          <w:pPr>
            <w:pStyle w:val="TDC1"/>
            <w:rPr>
              <w:rFonts w:eastAsiaTheme="minorEastAsia"/>
              <w:b w:val="0"/>
              <w:sz w:val="24"/>
              <w:szCs w:val="24"/>
              <w:lang w:eastAsia="es-MX"/>
            </w:rPr>
          </w:pPr>
          <w:hyperlink w:anchor="_Toc527360676" w:history="1">
            <w:r w:rsidR="002A6E1F" w:rsidRPr="002A6E1F">
              <w:rPr>
                <w:rStyle w:val="Hipervnculo"/>
                <w:rFonts w:eastAsia="Calibri"/>
                <w:sz w:val="24"/>
                <w:szCs w:val="24"/>
                <w:lang w:val="es-ES"/>
              </w:rPr>
              <w:t>II.</w:t>
            </w:r>
            <w:r w:rsidR="002A6E1F" w:rsidRPr="002A6E1F">
              <w:rPr>
                <w:rFonts w:eastAsiaTheme="minorEastAsia"/>
                <w:b w:val="0"/>
                <w:sz w:val="24"/>
                <w:szCs w:val="24"/>
                <w:lang w:eastAsia="es-MX"/>
              </w:rPr>
              <w:tab/>
            </w:r>
            <w:r w:rsidR="002A6E1F" w:rsidRPr="002A6E1F">
              <w:rPr>
                <w:rStyle w:val="Hipervnculo"/>
                <w:rFonts w:eastAsia="Calibri"/>
                <w:sz w:val="24"/>
                <w:szCs w:val="24"/>
                <w:lang w:val="es-ES"/>
              </w:rPr>
              <w:t>De los requerimientos planteados en el recurso de revisión.</w:t>
            </w:r>
            <w:r w:rsidR="002A6E1F" w:rsidRPr="002A6E1F">
              <w:rPr>
                <w:webHidden/>
                <w:sz w:val="24"/>
                <w:szCs w:val="24"/>
              </w:rPr>
              <w:tab/>
            </w:r>
            <w:r w:rsidR="002A6E1F" w:rsidRPr="002A6E1F">
              <w:rPr>
                <w:webHidden/>
                <w:sz w:val="24"/>
                <w:szCs w:val="24"/>
              </w:rPr>
              <w:fldChar w:fldCharType="begin"/>
            </w:r>
            <w:r w:rsidR="002A6E1F" w:rsidRPr="002A6E1F">
              <w:rPr>
                <w:webHidden/>
                <w:sz w:val="24"/>
                <w:szCs w:val="24"/>
              </w:rPr>
              <w:instrText xml:space="preserve"> PAGEREF _Toc527360676 \h </w:instrText>
            </w:r>
            <w:r w:rsidR="002A6E1F" w:rsidRPr="002A6E1F">
              <w:rPr>
                <w:webHidden/>
                <w:sz w:val="24"/>
                <w:szCs w:val="24"/>
              </w:rPr>
            </w:r>
            <w:r w:rsidR="002A6E1F" w:rsidRPr="002A6E1F">
              <w:rPr>
                <w:webHidden/>
                <w:sz w:val="24"/>
                <w:szCs w:val="24"/>
              </w:rPr>
              <w:fldChar w:fldCharType="separate"/>
            </w:r>
            <w:r w:rsidR="004E2963">
              <w:rPr>
                <w:webHidden/>
                <w:sz w:val="24"/>
                <w:szCs w:val="24"/>
              </w:rPr>
              <w:t>2</w:t>
            </w:r>
            <w:r w:rsidR="002A6E1F" w:rsidRPr="002A6E1F">
              <w:rPr>
                <w:webHidden/>
                <w:sz w:val="24"/>
                <w:szCs w:val="24"/>
              </w:rPr>
              <w:fldChar w:fldCharType="end"/>
            </w:r>
          </w:hyperlink>
        </w:p>
        <w:p w:rsidR="002A6E1F" w:rsidRPr="002A6E1F" w:rsidRDefault="00F47523">
          <w:pPr>
            <w:pStyle w:val="TDC2"/>
            <w:rPr>
              <w:rFonts w:ascii="Palatino Linotype" w:eastAsiaTheme="minorEastAsia" w:hAnsi="Palatino Linotype"/>
              <w:noProof/>
              <w:sz w:val="24"/>
              <w:szCs w:val="24"/>
              <w:lang w:eastAsia="es-MX"/>
            </w:rPr>
          </w:pPr>
          <w:hyperlink w:anchor="_Toc527360677" w:history="1">
            <w:r w:rsidR="002A6E1F" w:rsidRPr="002A6E1F">
              <w:rPr>
                <w:rStyle w:val="Hipervnculo"/>
                <w:rFonts w:ascii="Palatino Linotype" w:hAnsi="Palatino Linotype"/>
                <w:b/>
                <w:noProof/>
                <w:sz w:val="24"/>
                <w:szCs w:val="24"/>
              </w:rPr>
              <w:t>III. Del Derecho de Acceso a la información pública y el deber de motivar.</w:t>
            </w:r>
            <w:r w:rsidR="002A6E1F" w:rsidRPr="002A6E1F">
              <w:rPr>
                <w:rFonts w:ascii="Palatino Linotype" w:hAnsi="Palatino Linotype"/>
                <w:noProof/>
                <w:webHidden/>
                <w:sz w:val="24"/>
                <w:szCs w:val="24"/>
              </w:rPr>
              <w:tab/>
            </w:r>
            <w:r w:rsidR="002A6E1F" w:rsidRPr="002A6E1F">
              <w:rPr>
                <w:rFonts w:ascii="Palatino Linotype" w:hAnsi="Palatino Linotype"/>
                <w:noProof/>
                <w:webHidden/>
                <w:sz w:val="24"/>
                <w:szCs w:val="24"/>
              </w:rPr>
              <w:fldChar w:fldCharType="begin"/>
            </w:r>
            <w:r w:rsidR="002A6E1F" w:rsidRPr="002A6E1F">
              <w:rPr>
                <w:rFonts w:ascii="Palatino Linotype" w:hAnsi="Palatino Linotype"/>
                <w:noProof/>
                <w:webHidden/>
                <w:sz w:val="24"/>
                <w:szCs w:val="24"/>
              </w:rPr>
              <w:instrText xml:space="preserve"> PAGEREF _Toc527360677 \h </w:instrText>
            </w:r>
            <w:r w:rsidR="002A6E1F" w:rsidRPr="002A6E1F">
              <w:rPr>
                <w:rFonts w:ascii="Palatino Linotype" w:hAnsi="Palatino Linotype"/>
                <w:noProof/>
                <w:webHidden/>
                <w:sz w:val="24"/>
                <w:szCs w:val="24"/>
              </w:rPr>
            </w:r>
            <w:r w:rsidR="002A6E1F" w:rsidRPr="002A6E1F">
              <w:rPr>
                <w:rFonts w:ascii="Palatino Linotype" w:hAnsi="Palatino Linotype"/>
                <w:noProof/>
                <w:webHidden/>
                <w:sz w:val="24"/>
                <w:szCs w:val="24"/>
              </w:rPr>
              <w:fldChar w:fldCharType="separate"/>
            </w:r>
            <w:r w:rsidR="004E2963">
              <w:rPr>
                <w:rFonts w:ascii="Palatino Linotype" w:hAnsi="Palatino Linotype"/>
                <w:noProof/>
                <w:webHidden/>
                <w:sz w:val="24"/>
                <w:szCs w:val="24"/>
              </w:rPr>
              <w:t>5</w:t>
            </w:r>
            <w:r w:rsidR="002A6E1F" w:rsidRPr="002A6E1F">
              <w:rPr>
                <w:rFonts w:ascii="Palatino Linotype" w:hAnsi="Palatino Linotype"/>
                <w:noProof/>
                <w:webHidden/>
                <w:sz w:val="24"/>
                <w:szCs w:val="24"/>
              </w:rPr>
              <w:fldChar w:fldCharType="end"/>
            </w:r>
          </w:hyperlink>
        </w:p>
        <w:p w:rsidR="002A6E1F" w:rsidRPr="002A6E1F" w:rsidRDefault="00F47523">
          <w:pPr>
            <w:pStyle w:val="TDC1"/>
            <w:rPr>
              <w:rFonts w:eastAsiaTheme="minorEastAsia"/>
              <w:b w:val="0"/>
              <w:sz w:val="24"/>
              <w:szCs w:val="24"/>
              <w:lang w:eastAsia="es-MX"/>
            </w:rPr>
          </w:pPr>
          <w:hyperlink w:anchor="_Toc527360678" w:history="1">
            <w:r w:rsidR="002A6E1F" w:rsidRPr="002A6E1F">
              <w:rPr>
                <w:rStyle w:val="Hipervnculo"/>
                <w:rFonts w:eastAsia="Calibri"/>
                <w:sz w:val="24"/>
                <w:szCs w:val="24"/>
              </w:rPr>
              <w:t>IV. Del Pronunciamiento simple</w:t>
            </w:r>
            <w:r w:rsidR="002A6E1F" w:rsidRPr="002A6E1F">
              <w:rPr>
                <w:webHidden/>
                <w:sz w:val="24"/>
                <w:szCs w:val="24"/>
              </w:rPr>
              <w:tab/>
            </w:r>
            <w:r w:rsidR="002A6E1F" w:rsidRPr="002A6E1F">
              <w:rPr>
                <w:webHidden/>
                <w:sz w:val="24"/>
                <w:szCs w:val="24"/>
              </w:rPr>
              <w:fldChar w:fldCharType="begin"/>
            </w:r>
            <w:r w:rsidR="002A6E1F" w:rsidRPr="002A6E1F">
              <w:rPr>
                <w:webHidden/>
                <w:sz w:val="24"/>
                <w:szCs w:val="24"/>
              </w:rPr>
              <w:instrText xml:space="preserve"> PAGEREF _Toc527360678 \h </w:instrText>
            </w:r>
            <w:r w:rsidR="002A6E1F" w:rsidRPr="002A6E1F">
              <w:rPr>
                <w:webHidden/>
                <w:sz w:val="24"/>
                <w:szCs w:val="24"/>
              </w:rPr>
            </w:r>
            <w:r w:rsidR="002A6E1F" w:rsidRPr="002A6E1F">
              <w:rPr>
                <w:webHidden/>
                <w:sz w:val="24"/>
                <w:szCs w:val="24"/>
              </w:rPr>
              <w:fldChar w:fldCharType="separate"/>
            </w:r>
            <w:r w:rsidR="004E2963">
              <w:rPr>
                <w:webHidden/>
                <w:sz w:val="24"/>
                <w:szCs w:val="24"/>
              </w:rPr>
              <w:t>10</w:t>
            </w:r>
            <w:r w:rsidR="002A6E1F" w:rsidRPr="002A6E1F">
              <w:rPr>
                <w:webHidden/>
                <w:sz w:val="24"/>
                <w:szCs w:val="24"/>
              </w:rPr>
              <w:fldChar w:fldCharType="end"/>
            </w:r>
          </w:hyperlink>
        </w:p>
        <w:p w:rsidR="002A6E1F" w:rsidRPr="002A6E1F" w:rsidRDefault="00F47523">
          <w:pPr>
            <w:pStyle w:val="TDC1"/>
            <w:rPr>
              <w:rFonts w:eastAsiaTheme="minorEastAsia"/>
              <w:b w:val="0"/>
              <w:sz w:val="24"/>
              <w:szCs w:val="24"/>
              <w:lang w:eastAsia="es-MX"/>
            </w:rPr>
          </w:pPr>
          <w:hyperlink w:anchor="_Toc527360679" w:history="1">
            <w:r w:rsidR="002A6E1F" w:rsidRPr="002A6E1F">
              <w:rPr>
                <w:rStyle w:val="Hipervnculo"/>
                <w:rFonts w:eastAsia="Calibri"/>
                <w:sz w:val="24"/>
                <w:szCs w:val="24"/>
              </w:rPr>
              <w:t>V. Conclusión.</w:t>
            </w:r>
            <w:r w:rsidR="002A6E1F" w:rsidRPr="002A6E1F">
              <w:rPr>
                <w:webHidden/>
                <w:sz w:val="24"/>
                <w:szCs w:val="24"/>
              </w:rPr>
              <w:tab/>
            </w:r>
            <w:r w:rsidR="002A6E1F" w:rsidRPr="002A6E1F">
              <w:rPr>
                <w:webHidden/>
                <w:sz w:val="24"/>
                <w:szCs w:val="24"/>
              </w:rPr>
              <w:fldChar w:fldCharType="begin"/>
            </w:r>
            <w:r w:rsidR="002A6E1F" w:rsidRPr="002A6E1F">
              <w:rPr>
                <w:webHidden/>
                <w:sz w:val="24"/>
                <w:szCs w:val="24"/>
              </w:rPr>
              <w:instrText xml:space="preserve"> PAGEREF _Toc527360679 \h </w:instrText>
            </w:r>
            <w:r w:rsidR="002A6E1F" w:rsidRPr="002A6E1F">
              <w:rPr>
                <w:webHidden/>
                <w:sz w:val="24"/>
                <w:szCs w:val="24"/>
              </w:rPr>
            </w:r>
            <w:r w:rsidR="002A6E1F" w:rsidRPr="002A6E1F">
              <w:rPr>
                <w:webHidden/>
                <w:sz w:val="24"/>
                <w:szCs w:val="24"/>
              </w:rPr>
              <w:fldChar w:fldCharType="separate"/>
            </w:r>
            <w:r w:rsidR="004E2963">
              <w:rPr>
                <w:webHidden/>
                <w:sz w:val="24"/>
                <w:szCs w:val="24"/>
              </w:rPr>
              <w:t>17</w:t>
            </w:r>
            <w:r w:rsidR="002A6E1F" w:rsidRPr="002A6E1F">
              <w:rPr>
                <w:webHidden/>
                <w:sz w:val="24"/>
                <w:szCs w:val="24"/>
              </w:rPr>
              <w:fldChar w:fldCharType="end"/>
            </w:r>
          </w:hyperlink>
        </w:p>
        <w:p w:rsidR="00E6179D" w:rsidRPr="002A6E1F" w:rsidRDefault="00E6179D" w:rsidP="00B73B30">
          <w:pPr>
            <w:spacing w:line="360" w:lineRule="auto"/>
            <w:rPr>
              <w:rFonts w:ascii="Palatino Linotype" w:hAnsi="Palatino Linotype"/>
              <w:sz w:val="24"/>
              <w:szCs w:val="24"/>
            </w:rPr>
          </w:pPr>
          <w:r w:rsidRPr="002A6E1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527360675"/>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930786">
        <w:rPr>
          <w:rFonts w:ascii="Palatino Linotype" w:eastAsia="Calibri" w:hAnsi="Palatino Linotype" w:cs="Arial"/>
          <w:sz w:val="24"/>
          <w:szCs w:val="24"/>
        </w:rPr>
        <w:t xml:space="preserve"> la</w:t>
      </w:r>
      <w:r w:rsidR="00497F7C">
        <w:rPr>
          <w:rFonts w:ascii="Palatino Linotype" w:eastAsia="Calibri" w:hAnsi="Palatino Linotype" w:cs="Arial"/>
          <w:sz w:val="24"/>
          <w:szCs w:val="24"/>
        </w:rPr>
        <w:t xml:space="preserve"> </w:t>
      </w:r>
      <w:r w:rsidR="00497F7C" w:rsidRPr="00497F7C">
        <w:rPr>
          <w:rFonts w:ascii="Palatino Linotype" w:hAnsi="Palatino Linotype" w:cs="Arial"/>
          <w:b/>
          <w:sz w:val="24"/>
          <w:szCs w:val="24"/>
        </w:rPr>
        <w:t xml:space="preserve"> </w:t>
      </w:r>
      <w:r w:rsidR="007D4605" w:rsidRPr="007D4605">
        <w:rPr>
          <w:rFonts w:ascii="Palatino Linotype" w:hAnsi="Palatino Linotype" w:cs="Arial"/>
          <w:b/>
          <w:sz w:val="24"/>
          <w:szCs w:val="24"/>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497F7C" w:rsidRPr="00B8499D">
        <w:rPr>
          <w:rFonts w:ascii="Palatino Linotype" w:hAnsi="Palatino Linotype" w:cs="Arial"/>
          <w:b/>
          <w:sz w:val="24"/>
          <w:szCs w:val="24"/>
        </w:rPr>
        <w:t>Ayuntamiento de</w:t>
      </w:r>
      <w:r w:rsidR="00930786" w:rsidRPr="00930786">
        <w:rPr>
          <w:rFonts w:ascii="Palatino Linotype" w:hAnsi="Palatino Linotype" w:cs="Arial"/>
          <w:b/>
          <w:sz w:val="24"/>
          <w:szCs w:val="24"/>
        </w:rPr>
        <w:t xml:space="preserve"> </w:t>
      </w:r>
      <w:r w:rsidR="00930786">
        <w:rPr>
          <w:rFonts w:ascii="Palatino Linotype" w:hAnsi="Palatino Linotype" w:cs="Arial"/>
          <w:b/>
          <w:sz w:val="24"/>
          <w:szCs w:val="24"/>
        </w:rPr>
        <w:t>Cuautitlán Izcalli</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930786">
        <w:rPr>
          <w:rFonts w:ascii="Palatino Linotype" w:hAnsi="Palatino Linotype" w:cs="Arial"/>
          <w:b/>
          <w:bCs/>
          <w:sz w:val="23"/>
          <w:szCs w:val="23"/>
        </w:rPr>
        <w:t>9</w:t>
      </w:r>
      <w:r w:rsidR="001D47E3">
        <w:rPr>
          <w:rFonts w:ascii="Palatino Linotype" w:hAnsi="Palatino Linotype" w:cs="Arial"/>
          <w:b/>
          <w:bCs/>
          <w:sz w:val="23"/>
          <w:szCs w:val="23"/>
        </w:rPr>
        <w:t>30</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97F7C">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7360676"/>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Pr="00930786" w:rsidRDefault="00E6179D" w:rsidP="00930786">
      <w:pPr>
        <w:spacing w:line="360" w:lineRule="auto"/>
        <w:ind w:left="851" w:right="850"/>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497F7C" w:rsidRPr="00497F7C">
        <w:rPr>
          <w:rFonts w:ascii="Palatino Linotype" w:hAnsi="Palatino Linotype" w:cs="Arial"/>
          <w:b/>
          <w:sz w:val="24"/>
          <w:szCs w:val="24"/>
        </w:rPr>
        <w:t xml:space="preserve"> </w:t>
      </w:r>
      <w:r w:rsidR="00497F7C" w:rsidRPr="00B8499D">
        <w:rPr>
          <w:rFonts w:ascii="Palatino Linotype" w:hAnsi="Palatino Linotype" w:cs="Arial"/>
          <w:b/>
          <w:sz w:val="24"/>
          <w:szCs w:val="24"/>
        </w:rPr>
        <w:t>Ayuntamiento de</w:t>
      </w:r>
      <w:r w:rsidR="00930786" w:rsidRPr="00930786">
        <w:rPr>
          <w:rFonts w:ascii="Palatino Linotype" w:hAnsi="Palatino Linotype" w:cs="Arial"/>
          <w:b/>
          <w:sz w:val="24"/>
          <w:szCs w:val="24"/>
        </w:rPr>
        <w:t xml:space="preserve"> </w:t>
      </w:r>
      <w:r w:rsidR="00930786">
        <w:rPr>
          <w:rFonts w:ascii="Palatino Linotype" w:hAnsi="Palatino Linotype" w:cs="Arial"/>
          <w:b/>
          <w:sz w:val="24"/>
          <w:szCs w:val="24"/>
        </w:rPr>
        <w:t>Cuautitlán Izcalli</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930786" w:rsidRPr="00930786">
        <w:rPr>
          <w:rFonts w:ascii="Palatino Linotype" w:eastAsia="Times New Roman" w:hAnsi="Palatino Linotype" w:cs="Times New Roman"/>
          <w:i/>
          <w:lang w:val="es-ES_tradnl" w:eastAsia="es-ES"/>
        </w:rPr>
        <w:t>“</w:t>
      </w:r>
      <w:r w:rsidR="00930786" w:rsidRPr="00930786">
        <w:rPr>
          <w:rFonts w:ascii="Palatino Linotype" w:hAnsi="Palatino Linotype"/>
          <w:i/>
          <w:color w:val="000000"/>
        </w:rPr>
        <w:t xml:space="preserve">1. Indicar preceptos legales aplicables para llevar a cabo una Auditoría ya sea Financiera, Administrativa o de Obra. 2. Referir a que persona </w:t>
      </w:r>
      <w:r w:rsidR="00930786" w:rsidRPr="00930786">
        <w:rPr>
          <w:rFonts w:ascii="Palatino Linotype" w:hAnsi="Palatino Linotype"/>
          <w:i/>
          <w:color w:val="000000"/>
        </w:rPr>
        <w:lastRenderedPageBreak/>
        <w:t xml:space="preserve">le es notificada el inicio, tramitación y conclusión de las Auditorías; es decir, a los presuntos responsables o a los servidores públicos que en el momento en que se lleva a cabo la Auditoría ocupan los puestos de los entes obligados. 3. En caso de que se deriven observaciones de las Auditorías mencionar el plazo otorgado para la </w:t>
      </w:r>
      <w:proofErr w:type="spellStart"/>
      <w:r w:rsidR="00930786" w:rsidRPr="00930786">
        <w:rPr>
          <w:rFonts w:ascii="Palatino Linotype" w:hAnsi="Palatino Linotype"/>
          <w:i/>
          <w:color w:val="000000"/>
        </w:rPr>
        <w:t>solventación</w:t>
      </w:r>
      <w:proofErr w:type="spellEnd"/>
      <w:r w:rsidR="00930786" w:rsidRPr="00930786">
        <w:rPr>
          <w:rFonts w:ascii="Palatino Linotype" w:hAnsi="Palatino Linotype"/>
          <w:i/>
          <w:color w:val="000000"/>
        </w:rPr>
        <w:t xml:space="preserve"> de las mimas. 4. Indicar a que persona se le notifican las observaciones a fin de la posible </w:t>
      </w:r>
      <w:proofErr w:type="spellStart"/>
      <w:r w:rsidR="00930786" w:rsidRPr="00930786">
        <w:rPr>
          <w:rFonts w:ascii="Palatino Linotype" w:hAnsi="Palatino Linotype"/>
          <w:i/>
          <w:color w:val="000000"/>
        </w:rPr>
        <w:t>solventación</w:t>
      </w:r>
      <w:proofErr w:type="spellEnd"/>
      <w:r w:rsidR="00930786" w:rsidRPr="00930786">
        <w:rPr>
          <w:rFonts w:ascii="Palatino Linotype" w:hAnsi="Palatino Linotype"/>
          <w:i/>
          <w:color w:val="000000"/>
        </w:rPr>
        <w:t xml:space="preserve"> de las mismas; es decir al presunto responsable o a los servidores públicos que ocupan cargos del ente auditado. 5. Informar cuales son las funciones específicas de la Contraloría Municipal, sus atribuciones, facultades y limitaciones en su actuar. 6. </w:t>
      </w:r>
      <w:proofErr w:type="spellStart"/>
      <w:r w:rsidR="00930786" w:rsidRPr="00930786">
        <w:rPr>
          <w:rFonts w:ascii="Palatino Linotype" w:hAnsi="Palatino Linotype"/>
          <w:i/>
          <w:color w:val="000000"/>
        </w:rPr>
        <w:t>Cuales</w:t>
      </w:r>
      <w:proofErr w:type="spellEnd"/>
      <w:r w:rsidR="00930786" w:rsidRPr="00930786">
        <w:rPr>
          <w:rFonts w:ascii="Palatino Linotype" w:hAnsi="Palatino Linotype"/>
          <w:i/>
          <w:color w:val="000000"/>
        </w:rPr>
        <w:t xml:space="preserve"> son los criterios considerados para atender los asuntos de Acoso Laboral, Acoso Sexual, Nepotismo. 7. Informar el nombre completo, antigüedad y experiencia en la administración pública del Contralor Municipal. </w:t>
      </w:r>
      <w:proofErr w:type="gramStart"/>
      <w:r w:rsidR="00930786" w:rsidRPr="00930786">
        <w:rPr>
          <w:rFonts w:ascii="Palatino Linotype" w:hAnsi="Palatino Linotype"/>
          <w:i/>
          <w:color w:val="000000"/>
        </w:rPr>
        <w:t>8.Informar</w:t>
      </w:r>
      <w:proofErr w:type="gramEnd"/>
      <w:r w:rsidR="00930786" w:rsidRPr="00930786">
        <w:rPr>
          <w:rFonts w:ascii="Palatino Linotype" w:hAnsi="Palatino Linotype"/>
          <w:i/>
          <w:color w:val="000000"/>
        </w:rPr>
        <w:t xml:space="preserve"> el nombre completo, antigüedad y experiencia en la administración pública de la Directora de Responsabilidades, Quejas y Denuncias. 9. .Informar el nombre completo, antigüedad y experiencia en la administración pública de la Jefa de Departamento de Responsabilidades. 10. Cuales son </w:t>
      </w:r>
      <w:proofErr w:type="spellStart"/>
      <w:r w:rsidR="00930786" w:rsidRPr="00930786">
        <w:rPr>
          <w:rFonts w:ascii="Palatino Linotype" w:hAnsi="Palatino Linotype"/>
          <w:i/>
          <w:color w:val="000000"/>
        </w:rPr>
        <w:t>ls</w:t>
      </w:r>
      <w:proofErr w:type="spellEnd"/>
      <w:r w:rsidR="00930786" w:rsidRPr="00930786">
        <w:rPr>
          <w:rFonts w:ascii="Palatino Linotype" w:hAnsi="Palatino Linotype"/>
          <w:i/>
          <w:color w:val="000000"/>
        </w:rPr>
        <w:t xml:space="preserve"> criterios t9omados para determinar el archivo o inicio de un procedimiento.</w:t>
      </w:r>
      <w:r w:rsidR="00930786" w:rsidRPr="00930786">
        <w:rPr>
          <w:rFonts w:ascii="Palatino Linotype" w:eastAsia="Times New Roman" w:hAnsi="Palatino Linotype" w:cs="Times New Roman"/>
          <w:i/>
          <w:lang w:val="es-ES_tradnl" w:eastAsia="es-ES"/>
        </w:rPr>
        <w:t xml:space="preserve">” </w:t>
      </w:r>
      <w:r w:rsidR="00930786" w:rsidRPr="00930786">
        <w:rPr>
          <w:rFonts w:ascii="Palatino Linotype" w:eastAsia="Times New Roman" w:hAnsi="Palatino Linotype" w:cs="Times New Roman"/>
          <w:b/>
          <w:i/>
          <w:lang w:val="es-ES_tradnl" w:eastAsia="es-ES"/>
        </w:rPr>
        <w:t>[Sic]</w:t>
      </w:r>
    </w:p>
    <w:p w:rsidR="0036141D" w:rsidRPr="00497F7C" w:rsidRDefault="0036141D" w:rsidP="00497F7C">
      <w:pPr>
        <w:spacing w:line="240" w:lineRule="auto"/>
        <w:ind w:left="851" w:right="850"/>
        <w:jc w:val="both"/>
        <w:rPr>
          <w:rFonts w:ascii="Palatino Linotype" w:hAnsi="Palatino Linotype"/>
          <w:i/>
          <w:lang w:val="es-ES_tradnl"/>
        </w:rPr>
      </w:pP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Pr>
          <w:rFonts w:ascii="Palatino Linotype" w:hAnsi="Palatino Linotype" w:cs="Arial"/>
          <w:b/>
          <w:sz w:val="24"/>
          <w:szCs w:val="24"/>
        </w:rPr>
        <w:t>Ayuntamiento de Cuautitlán Izcalli</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w:t>
      </w:r>
      <w:r w:rsidR="00FD1FAD" w:rsidRPr="006F081D">
        <w:rPr>
          <w:rFonts w:ascii="Palatino Linotype" w:eastAsia="Calibri" w:hAnsi="Palatino Linotype" w:cs="Arial"/>
          <w:sz w:val="24"/>
          <w:szCs w:val="24"/>
        </w:rPr>
        <w:lastRenderedPageBreak/>
        <w:t xml:space="preserve">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930786"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B8499D">
        <w:rPr>
          <w:rFonts w:ascii="Palatino Linotype" w:hAnsi="Palatino Linotype" w:cs="Arial"/>
          <w:b/>
          <w:sz w:val="24"/>
          <w:szCs w:val="24"/>
        </w:rPr>
        <w:t>Ayuntamiento de</w:t>
      </w:r>
      <w:r w:rsidR="00F65D3B" w:rsidRPr="00F65D3B">
        <w:rPr>
          <w:rFonts w:ascii="Palatino Linotype" w:hAnsi="Palatino Linotype" w:cs="Arial"/>
          <w:b/>
          <w:sz w:val="24"/>
          <w:szCs w:val="24"/>
        </w:rPr>
        <w:t xml:space="preserve"> </w:t>
      </w:r>
      <w:r w:rsidR="00F65D3B">
        <w:rPr>
          <w:rFonts w:ascii="Palatino Linotype" w:hAnsi="Palatino Linotype" w:cs="Arial"/>
          <w:b/>
          <w:sz w:val="24"/>
          <w:szCs w:val="24"/>
        </w:rPr>
        <w:t>Cuautitlán Izcalli</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930786" w:rsidRPr="00930786" w:rsidRDefault="00930786" w:rsidP="00930786">
      <w:pPr>
        <w:pStyle w:val="Prrafodelista"/>
        <w:rPr>
          <w:rFonts w:ascii="Palatino Linotype" w:hAnsi="Palatino Linotype"/>
          <w:sz w:val="24"/>
          <w:szCs w:val="24"/>
        </w:rPr>
      </w:pPr>
      <w:r w:rsidRPr="00930786">
        <w:rPr>
          <w:rFonts w:ascii="Palatino Linotype" w:hAnsi="Palatino Linotype"/>
          <w:sz w:val="24"/>
          <w:szCs w:val="24"/>
        </w:rPr>
        <w:t>1.</w:t>
      </w:r>
      <w:r w:rsidRPr="00930786">
        <w:rPr>
          <w:rFonts w:ascii="Palatino Linotype" w:hAnsi="Palatino Linotype"/>
          <w:sz w:val="24"/>
          <w:szCs w:val="24"/>
        </w:rPr>
        <w:tab/>
        <w:t xml:space="preserve">Responsables a notificar para la </w:t>
      </w:r>
      <w:proofErr w:type="spellStart"/>
      <w:r w:rsidRPr="00930786">
        <w:rPr>
          <w:rFonts w:ascii="Palatino Linotype" w:hAnsi="Palatino Linotype"/>
          <w:sz w:val="24"/>
          <w:szCs w:val="24"/>
        </w:rPr>
        <w:t>solventación</w:t>
      </w:r>
      <w:proofErr w:type="spellEnd"/>
      <w:r w:rsidRPr="00930786">
        <w:rPr>
          <w:rFonts w:ascii="Palatino Linotype" w:hAnsi="Palatino Linotype"/>
          <w:sz w:val="24"/>
          <w:szCs w:val="24"/>
        </w:rPr>
        <w:t xml:space="preserve"> de observaciones derivadas de una auditoria, al treinta de julio de dos mil dieciocho. </w:t>
      </w:r>
    </w:p>
    <w:p w:rsidR="00930786" w:rsidRPr="00930786" w:rsidRDefault="00930786" w:rsidP="00930786">
      <w:pPr>
        <w:pStyle w:val="Prrafodelista"/>
        <w:rPr>
          <w:rFonts w:ascii="Palatino Linotype" w:hAnsi="Palatino Linotype"/>
          <w:sz w:val="24"/>
          <w:szCs w:val="24"/>
        </w:rPr>
      </w:pPr>
      <w:r w:rsidRPr="00930786">
        <w:rPr>
          <w:rFonts w:ascii="Palatino Linotype" w:hAnsi="Palatino Linotype"/>
          <w:sz w:val="24"/>
          <w:szCs w:val="24"/>
        </w:rPr>
        <w:t>2.</w:t>
      </w:r>
      <w:r w:rsidRPr="00930786">
        <w:rPr>
          <w:rFonts w:ascii="Palatino Linotype" w:hAnsi="Palatino Linotype"/>
          <w:sz w:val="24"/>
          <w:szCs w:val="24"/>
        </w:rPr>
        <w:tab/>
        <w:t xml:space="preserve">Criterios para atender asuntos de acoso laboral, acoso sexual y nepotismo, al treinta de julio de dos mil dieciocho. </w:t>
      </w:r>
    </w:p>
    <w:p w:rsidR="00930786" w:rsidRPr="00930786" w:rsidRDefault="00930786" w:rsidP="00930786">
      <w:pPr>
        <w:pStyle w:val="Prrafodelista"/>
        <w:rPr>
          <w:rFonts w:ascii="Palatino Linotype" w:hAnsi="Palatino Linotype"/>
          <w:sz w:val="24"/>
          <w:szCs w:val="24"/>
        </w:rPr>
      </w:pPr>
      <w:r w:rsidRPr="00930786">
        <w:rPr>
          <w:rFonts w:ascii="Palatino Linotype" w:hAnsi="Palatino Linotype"/>
          <w:sz w:val="24"/>
          <w:szCs w:val="24"/>
        </w:rPr>
        <w:t>3.</w:t>
      </w:r>
      <w:r w:rsidRPr="00930786">
        <w:rPr>
          <w:rFonts w:ascii="Palatino Linotype" w:hAnsi="Palatino Linotype"/>
          <w:sz w:val="24"/>
          <w:szCs w:val="24"/>
        </w:rPr>
        <w:tab/>
        <w:t xml:space="preserve">Criterios para decretar el inicio o archivo de un procedimiento, al treinta de julio de dos mil dieciocho. </w:t>
      </w:r>
    </w:p>
    <w:p w:rsidR="001A3506" w:rsidRDefault="001A3506" w:rsidP="00930786">
      <w:pPr>
        <w:pStyle w:val="Prrafodelista"/>
        <w:rPr>
          <w:rFonts w:ascii="Palatino Linotype" w:hAnsi="Palatino Linotype"/>
          <w:sz w:val="24"/>
          <w:szCs w:val="24"/>
        </w:rPr>
      </w:pPr>
    </w:p>
    <w:p w:rsidR="00930786" w:rsidRPr="00930786" w:rsidRDefault="00930786" w:rsidP="00930786">
      <w:pPr>
        <w:pStyle w:val="Prrafodelista"/>
        <w:rPr>
          <w:rFonts w:ascii="Palatino Linotype" w:hAnsi="Palatino Linotype"/>
          <w:sz w:val="24"/>
          <w:szCs w:val="24"/>
        </w:rPr>
      </w:pPr>
      <w:r w:rsidRPr="00930786">
        <w:rPr>
          <w:rFonts w:ascii="Palatino Linotype" w:hAnsi="Palatino Linotype"/>
          <w:sz w:val="24"/>
          <w:szCs w:val="24"/>
        </w:rPr>
        <w:t>Para el caso de que El Sujeto Obligado no haya generado la información relativa al punto 2, bastará con que lo haga del conocimiento del Recurrente al momento de dar cumplimiento a la presente resolución.</w:t>
      </w:r>
    </w:p>
    <w:p w:rsidR="00930786" w:rsidRPr="00AA39FC" w:rsidRDefault="00930786" w:rsidP="00930786">
      <w:pPr>
        <w:pStyle w:val="Prrafodelista"/>
        <w:spacing w:before="120" w:after="120" w:line="360" w:lineRule="auto"/>
        <w:ind w:left="0" w:right="49"/>
        <w:jc w:val="both"/>
        <w:rPr>
          <w:rFonts w:ascii="Palatino Linotype" w:hAnsi="Palatino Linotype"/>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al punto</w:t>
      </w:r>
      <w:r w:rsidR="00497F7C">
        <w:rPr>
          <w:rFonts w:ascii="Palatino Linotype" w:eastAsia="Times New Roman" w:hAnsi="Palatino Linotype" w:cs="Arial"/>
          <w:sz w:val="24"/>
        </w:rPr>
        <w:t xml:space="preserve"> </w:t>
      </w:r>
      <w:r w:rsidR="00256514">
        <w:rPr>
          <w:rFonts w:ascii="Palatino Linotype" w:eastAsia="Times New Roman" w:hAnsi="Palatino Linotype" w:cs="Arial"/>
          <w:sz w:val="24"/>
        </w:rPr>
        <w:t xml:space="preserve"> </w:t>
      </w:r>
      <w:r w:rsidR="001A3506">
        <w:rPr>
          <w:rFonts w:ascii="Palatino Linotype" w:eastAsia="Times New Roman" w:hAnsi="Palatino Linotype" w:cs="Arial"/>
          <w:sz w:val="24"/>
        </w:rPr>
        <w:t>2</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C93875" w:rsidRDefault="00C93875" w:rsidP="00EB2D01">
      <w:pPr>
        <w:pStyle w:val="Prrafodelista"/>
        <w:spacing w:before="240" w:after="240" w:line="360" w:lineRule="auto"/>
        <w:ind w:left="0" w:right="49"/>
        <w:jc w:val="both"/>
        <w:rPr>
          <w:rFonts w:ascii="Palatino Linotype" w:hAnsi="Palatino Linotype" w:cs="Arial"/>
          <w:sz w:val="24"/>
          <w:szCs w:val="24"/>
        </w:rPr>
      </w:pPr>
    </w:p>
    <w:p w:rsidR="001A3506" w:rsidRPr="00930786" w:rsidRDefault="001A3506" w:rsidP="001A3506">
      <w:pPr>
        <w:pStyle w:val="Prrafodelista"/>
        <w:rPr>
          <w:rFonts w:ascii="Palatino Linotype" w:hAnsi="Palatino Linotype"/>
          <w:sz w:val="24"/>
          <w:szCs w:val="24"/>
        </w:rPr>
      </w:pPr>
      <w:r w:rsidRPr="00930786">
        <w:rPr>
          <w:rFonts w:ascii="Palatino Linotype" w:hAnsi="Palatino Linotype"/>
          <w:sz w:val="24"/>
          <w:szCs w:val="24"/>
        </w:rPr>
        <w:t>Para el caso de que El Sujeto Obligado no haya generado la información relativa al punto 2, bastará con que lo haga del conocimiento del Recurrente al momento de dar cumplimiento a la presente resolución.</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7360677"/>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736067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w:t>
      </w:r>
      <w:r w:rsidRPr="0083488C">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736067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4E2963" w:rsidRDefault="004E2963" w:rsidP="00E6179D">
      <w:pPr>
        <w:pStyle w:val="Prrafodelista"/>
        <w:spacing w:before="240" w:after="240" w:line="360" w:lineRule="auto"/>
        <w:ind w:left="0"/>
        <w:jc w:val="both"/>
        <w:rPr>
          <w:rFonts w:ascii="Palatino Linotype" w:hAnsi="Palatino Linotype" w:cs="Arial"/>
          <w:color w:val="000000" w:themeColor="text1"/>
          <w:sz w:val="24"/>
          <w:szCs w:val="24"/>
        </w:rPr>
      </w:pPr>
    </w:p>
    <w:p w:rsidR="004E2963" w:rsidRDefault="004E2963" w:rsidP="00E6179D">
      <w:pPr>
        <w:pStyle w:val="Prrafodelista"/>
        <w:spacing w:before="240" w:after="240" w:line="360" w:lineRule="auto"/>
        <w:ind w:left="0"/>
        <w:jc w:val="both"/>
        <w:rPr>
          <w:rFonts w:ascii="Palatino Linotype" w:hAnsi="Palatino Linotype" w:cs="Arial"/>
          <w:color w:val="000000" w:themeColor="text1"/>
          <w:sz w:val="24"/>
          <w:szCs w:val="24"/>
        </w:rPr>
      </w:pPr>
    </w:p>
    <w:p w:rsidR="004E2963" w:rsidRDefault="004E2963" w:rsidP="00E6179D">
      <w:pPr>
        <w:pStyle w:val="Prrafodelista"/>
        <w:spacing w:before="240" w:after="240" w:line="360" w:lineRule="auto"/>
        <w:ind w:left="0"/>
        <w:jc w:val="both"/>
        <w:rPr>
          <w:rFonts w:ascii="Palatino Linotype" w:hAnsi="Palatino Linotype" w:cs="Arial"/>
          <w:color w:val="000000" w:themeColor="text1"/>
          <w:sz w:val="24"/>
          <w:szCs w:val="24"/>
        </w:rPr>
      </w:pPr>
    </w:p>
    <w:p w:rsidR="004E2963" w:rsidRDefault="004E2963" w:rsidP="00E6179D">
      <w:pPr>
        <w:pStyle w:val="Prrafodelista"/>
        <w:spacing w:before="240" w:after="240" w:line="360" w:lineRule="auto"/>
        <w:ind w:left="0"/>
        <w:jc w:val="both"/>
        <w:rPr>
          <w:rFonts w:ascii="Palatino Linotype" w:hAnsi="Palatino Linotype" w:cs="Arial"/>
          <w:color w:val="000000" w:themeColor="text1"/>
          <w:sz w:val="24"/>
          <w:szCs w:val="24"/>
        </w:rPr>
      </w:pPr>
    </w:p>
    <w:p w:rsidR="004E2963" w:rsidRPr="00427B79" w:rsidRDefault="004E2963"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Default="00A22908" w:rsidP="00E6179D">
      <w:pPr>
        <w:rPr>
          <w:rFonts w:ascii="Palatino Linotype" w:hAnsi="Palatino Linotype"/>
          <w:color w:val="000000" w:themeColor="text1"/>
          <w:sz w:val="24"/>
          <w:szCs w:val="24"/>
        </w:rPr>
      </w:pPr>
    </w:p>
    <w:p w:rsidR="004E2963" w:rsidRPr="00792776" w:rsidRDefault="004E2963" w:rsidP="004E2963">
      <w:pPr>
        <w:jc w:val="both"/>
      </w:pPr>
      <w:r>
        <w:rPr>
          <w:rFonts w:ascii="Palatino Linotype" w:hAnsi="Palatino Linotype" w:cs="Arial"/>
          <w:sz w:val="18"/>
          <w:szCs w:val="18"/>
        </w:rPr>
        <w:t xml:space="preserve">Esta hoja corresponde al voto particular </w:t>
      </w:r>
      <w:r w:rsidRPr="002F5C88">
        <w:rPr>
          <w:rFonts w:ascii="Palatino Linotype" w:hAnsi="Palatino Linotype" w:cs="Arial"/>
          <w:sz w:val="18"/>
          <w:szCs w:val="18"/>
        </w:rPr>
        <w:t xml:space="preserve">de fecha </w:t>
      </w:r>
      <w:r>
        <w:rPr>
          <w:rFonts w:ascii="Palatino Linotype" w:hAnsi="Palatino Linotype" w:cs="Arial"/>
          <w:sz w:val="18"/>
          <w:szCs w:val="18"/>
        </w:rPr>
        <w:t>10 de octubre</w:t>
      </w:r>
      <w:r w:rsidRPr="002F5C88">
        <w:rPr>
          <w:rFonts w:ascii="Palatino Linotype" w:hAnsi="Palatino Linotype" w:cs="Arial"/>
          <w:sz w:val="18"/>
          <w:szCs w:val="18"/>
        </w:rPr>
        <w:t xml:space="preserve"> </w:t>
      </w:r>
      <w:r>
        <w:rPr>
          <w:rFonts w:ascii="Palatino Linotype" w:hAnsi="Palatino Linotype" w:cs="Arial"/>
          <w:sz w:val="18"/>
          <w:szCs w:val="18"/>
        </w:rPr>
        <w:t>dos mil dieciocho, emitido</w:t>
      </w:r>
      <w:r w:rsidRPr="002F5C88">
        <w:rPr>
          <w:rFonts w:ascii="Palatino Linotype" w:hAnsi="Palatino Linotype" w:cs="Arial"/>
          <w:sz w:val="18"/>
          <w:szCs w:val="18"/>
        </w:rPr>
        <w:t xml:space="preserve"> en el recurso de revisión </w:t>
      </w:r>
      <w:r>
        <w:rPr>
          <w:rFonts w:ascii="Palatino Linotype" w:hAnsi="Palatino Linotype" w:cs="Arial"/>
          <w:bCs/>
          <w:sz w:val="18"/>
          <w:szCs w:val="18"/>
        </w:rPr>
        <w:t>02930/INFOEM/IP/RR/2018</w:t>
      </w:r>
      <w:r w:rsidRPr="002F5C88">
        <w:rPr>
          <w:rFonts w:ascii="Palatino Linotype" w:hAnsi="Palatino Linotype" w:cs="Arial"/>
          <w:bCs/>
          <w:sz w:val="18"/>
          <w:szCs w:val="18"/>
        </w:rPr>
        <w:t>.</w:t>
      </w:r>
      <w:r w:rsidRPr="00F16262">
        <w:rPr>
          <w:rFonts w:ascii="Palatino Linotype" w:hAnsi="Palatino Linotype" w:cs="Arial"/>
          <w:bCs/>
          <w:sz w:val="18"/>
          <w:szCs w:val="18"/>
        </w:rPr>
        <w:t xml:space="preserve"> </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0A1" w:rsidRDefault="00A900A1" w:rsidP="00E82D3D">
      <w:pPr>
        <w:spacing w:after="0" w:line="240" w:lineRule="auto"/>
      </w:pPr>
      <w:r>
        <w:separator/>
      </w:r>
    </w:p>
  </w:endnote>
  <w:endnote w:type="continuationSeparator" w:id="0">
    <w:p w:rsidR="00A900A1" w:rsidRDefault="00A900A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7523">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7523">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0A1" w:rsidRDefault="00A900A1" w:rsidP="00E82D3D">
      <w:pPr>
        <w:spacing w:after="0" w:line="240" w:lineRule="auto"/>
      </w:pPr>
      <w:r>
        <w:separator/>
      </w:r>
    </w:p>
  </w:footnote>
  <w:footnote w:type="continuationSeparator" w:id="0">
    <w:p w:rsidR="00A900A1" w:rsidRDefault="00A900A1"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475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475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475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0989"/>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A6E1F"/>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E2963"/>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40A46"/>
    <w:rsid w:val="00740DA3"/>
    <w:rsid w:val="00744BA1"/>
    <w:rsid w:val="00744F8C"/>
    <w:rsid w:val="00761D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4605"/>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900A1"/>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47523"/>
    <w:rsid w:val="00F65D3B"/>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BF4E-55B9-4B01-A4C9-07A9F36C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18</Pages>
  <Words>3619</Words>
  <Characters>19906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240</cp:revision>
  <cp:lastPrinted>2018-11-22T01:05:00Z</cp:lastPrinted>
  <dcterms:created xsi:type="dcterms:W3CDTF">2018-01-11T17:03:00Z</dcterms:created>
  <dcterms:modified xsi:type="dcterms:W3CDTF">2018-12-18T01:38:00Z</dcterms:modified>
</cp:coreProperties>
</file>